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EA7" w:rsidRDefault="00625913" w14:paraId="4845F3FD" w14:textId="70B4C89D">
      <w:pPr>
        <w:rPr>
          <w:b/>
          <w:bCs/>
          <w:sz w:val="28"/>
          <w:szCs w:val="28"/>
        </w:rPr>
      </w:pPr>
      <w:bookmarkStart w:name="_GoBack" w:id="0"/>
      <w:bookmarkEnd w:id="0"/>
      <w:r>
        <w:rPr>
          <w:b/>
          <w:bCs/>
          <w:sz w:val="28"/>
          <w:szCs w:val="28"/>
        </w:rPr>
        <w:t>Rutine for bekymring rundt elever og henvisning til PPT</w:t>
      </w:r>
    </w:p>
    <w:p w:rsidRPr="00032EA7" w:rsidR="00053A9D" w:rsidRDefault="00053A9D" w14:paraId="63E71DED" w14:textId="39352E82">
      <w:pPr>
        <w:rPr>
          <w:b/>
          <w:bCs/>
          <w:sz w:val="28"/>
          <w:szCs w:val="28"/>
        </w:rPr>
      </w:pPr>
      <w:r w:rsidRPr="00032EA7">
        <w:rPr>
          <w:b/>
          <w:bCs/>
          <w:sz w:val="28"/>
          <w:szCs w:val="28"/>
        </w:rPr>
        <w:t>Nivå 0</w:t>
      </w:r>
    </w:p>
    <w:p w:rsidR="00053A9D" w:rsidP="00053A9D" w:rsidRDefault="00053A9D" w14:paraId="6B8B3637" w14:textId="01FD100A">
      <w:pPr>
        <w:pStyle w:val="ListParagraph"/>
        <w:numPr>
          <w:ilvl w:val="0"/>
          <w:numId w:val="2"/>
        </w:numPr>
      </w:pPr>
      <w:r>
        <w:t>Skolens bekymring</w:t>
      </w:r>
    </w:p>
    <w:p w:rsidRPr="00C57420" w:rsidR="00065CE1" w:rsidP="00065CE1" w:rsidRDefault="00065CE1" w14:paraId="6C6DE0AC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nb-NO"/>
        </w:rPr>
      </w:pPr>
      <w:r w:rsidRPr="685E6F3D">
        <w:rPr>
          <w:lang w:eastAsia="nb-NO"/>
        </w:rPr>
        <w:t>Det er viktig at skolen involverer eleven og foreldre. Ved vansker med lesing/skriving bør det foretas samsynssjekk hos spesialoptiker</w:t>
      </w:r>
    </w:p>
    <w:p w:rsidRPr="00A77421" w:rsidR="00065CE1" w:rsidP="00065CE1" w:rsidRDefault="00065CE1" w14:paraId="5013B24B" w14:textId="372B7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nb-NO"/>
        </w:rPr>
      </w:pPr>
      <w:r w:rsidRPr="685E6F3D">
        <w:t>Hvis eleven viser svake resultater, skal eleven drøftes i internt på skolen</w:t>
      </w:r>
      <w:r w:rsidR="00A65975">
        <w:t xml:space="preserve">. </w:t>
      </w:r>
      <w:r w:rsidRPr="685E6F3D">
        <w:t>Skolen skal iverksatte gode og systematiske tiltak over tid. Tiltakene skal evalueres underveis og de skal loggføres, som intern dokumentasjon</w:t>
      </w:r>
    </w:p>
    <w:p w:rsidRPr="00FB6B43" w:rsidR="00A914F3" w:rsidP="00A914F3" w:rsidRDefault="00342A91" w14:paraId="12688160" w14:textId="57CC25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nb-NO"/>
        </w:rPr>
      </w:pPr>
      <w:r w:rsidRPr="56BCF462" w:rsidR="00342A91">
        <w:rPr>
          <w:lang w:eastAsia="nb-NO"/>
        </w:rPr>
        <w:t>Ele</w:t>
      </w:r>
      <w:r w:rsidRPr="56BCF462" w:rsidR="00A914F3">
        <w:rPr>
          <w:lang w:eastAsia="nb-NO"/>
        </w:rPr>
        <w:t xml:space="preserve">vens resultater </w:t>
      </w:r>
      <w:r w:rsidRPr="56BCF462" w:rsidR="005B4465">
        <w:rPr>
          <w:lang w:eastAsia="nb-NO"/>
        </w:rPr>
        <w:t xml:space="preserve">etter iverksatte </w:t>
      </w:r>
      <w:r w:rsidRPr="56BCF462" w:rsidR="00A914F3">
        <w:rPr>
          <w:lang w:eastAsia="nb-NO"/>
        </w:rPr>
        <w:t xml:space="preserve">pedagogiske tiltak drøftes internt på skolemøte, mellom lærere, ressurslærere og nærmeste </w:t>
      </w:r>
      <w:r w:rsidRPr="56BCF462" w:rsidR="00A914F3">
        <w:rPr>
          <w:lang w:eastAsia="nb-NO"/>
        </w:rPr>
        <w:t>leder</w:t>
      </w:r>
    </w:p>
    <w:p w:rsidRPr="00C4365D" w:rsidR="00A914F3" w:rsidP="00A914F3" w:rsidRDefault="00A914F3" w14:paraId="3C9F811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nb-NO"/>
        </w:rPr>
      </w:pPr>
      <w:r w:rsidRPr="685E6F3D">
        <w:rPr>
          <w:i/>
          <w:iCs/>
          <w:color w:val="303030"/>
          <w:lang w:eastAsia="nb-NO"/>
        </w:rPr>
        <w:t>Intensiv opplæring</w:t>
      </w:r>
      <w:r w:rsidRPr="685E6F3D">
        <w:rPr>
          <w:color w:val="303030"/>
          <w:lang w:eastAsia="nb-NO"/>
        </w:rPr>
        <w:t xml:space="preserve"> for elever fra 1. til 4. trinn: Det er en del av den ordinære tilpassede opplæringen. Det skal være en kortvarig og målrettet innsats fra skolen i lesing, skriving eller regning for elevene som har behov for det. </w:t>
      </w:r>
      <w:r w:rsidRPr="685E6F3D">
        <w:rPr>
          <w:color w:val="303030"/>
        </w:rPr>
        <w:t>Hvis en elev skårer under kritisk nivå på en kartleggingsprøve, tilsier dette at eleven må følges opp av skolen. Skolens plikt til å tilby intensiv opplæring blir utløst når en elev står i fare for å bli hengende etter i lesing, skriving eller regning</w:t>
      </w:r>
      <w:r w:rsidRPr="685E6F3D">
        <w:rPr>
          <w:color w:val="303030"/>
          <w:lang w:eastAsia="nb-NO"/>
        </w:rPr>
        <w:t>. Målet er at elever som trenger det, raskt skal få egnet støtte og oppfølging slik at problemene ikke får mulighet til å utvikle og forsterke seg videre i opplæringsløpet</w:t>
      </w:r>
    </w:p>
    <w:p w:rsidR="00B704E0" w:rsidP="527B73BA" w:rsidRDefault="00B704E0" w14:paraId="5A259DB1" w14:textId="77777777"/>
    <w:p w:rsidRPr="00032EA7" w:rsidR="00053A9D" w:rsidP="00053A9D" w:rsidRDefault="00053A9D" w14:paraId="099D5523" w14:textId="0138B8CB">
      <w:pPr>
        <w:rPr>
          <w:b/>
          <w:bCs/>
          <w:sz w:val="28"/>
          <w:szCs w:val="28"/>
        </w:rPr>
      </w:pPr>
      <w:r w:rsidRPr="00032EA7">
        <w:rPr>
          <w:b/>
          <w:bCs/>
          <w:sz w:val="28"/>
          <w:szCs w:val="28"/>
        </w:rPr>
        <w:t>Nivå 1</w:t>
      </w:r>
    </w:p>
    <w:p w:rsidRPr="00FB6B43" w:rsidR="006E6EF2" w:rsidP="006E6EF2" w:rsidRDefault="006E6EF2" w14:paraId="45DE5BA3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  <w:lang w:eastAsia="nb-NO"/>
        </w:rPr>
      </w:pPr>
      <w:r w:rsidRPr="00FB6B43">
        <w:rPr>
          <w:rFonts w:cstheme="minorHAnsi"/>
          <w:b/>
          <w:bCs/>
          <w:szCs w:val="24"/>
          <w:lang w:eastAsia="nb-NO"/>
        </w:rPr>
        <w:t>Vurdering av elevens utbytte av den ordinære opplæringen</w:t>
      </w:r>
    </w:p>
    <w:p w:rsidR="006E6EF2" w:rsidP="006E6EF2" w:rsidRDefault="006E6EF2" w14:paraId="7E6E5839" w14:textId="393666AA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Theme="minorEastAsia"/>
          <w:b/>
          <w:lang w:eastAsia="nb-NO"/>
        </w:rPr>
      </w:pPr>
      <w:r w:rsidRPr="685E6F3D">
        <w:rPr>
          <w:lang w:eastAsia="nb-NO"/>
        </w:rPr>
        <w:t xml:space="preserve">Skolen har ansvar for å vurdere om eleven får tilfredsstillende utbytte av den ordinære opplæringen. For å finne ut av dette, skal skolen gjennomføre systematiske kartlegginger av elevens ferdigheter i fag (jf. Veilederen spesialundervisning, kap.2.1): </w:t>
      </w:r>
      <w:r w:rsidRPr="685E6F3D">
        <w:rPr>
          <w:rFonts w:eastAsiaTheme="minorEastAsia"/>
          <w:i/>
          <w:iCs/>
          <w:sz w:val="24"/>
          <w:szCs w:val="24"/>
          <w:lang w:eastAsia="nb-NO"/>
        </w:rPr>
        <w:t>“</w:t>
      </w:r>
      <w:r w:rsidRPr="685E6F3D">
        <w:rPr>
          <w:rFonts w:eastAsiaTheme="minorEastAsia"/>
          <w:i/>
          <w:iCs/>
          <w:color w:val="303030"/>
          <w:sz w:val="24"/>
          <w:szCs w:val="24"/>
        </w:rPr>
        <w:t>Skolen må kartlegge innholdet i den ordinære opplæringen for å avgjøre om en elev får et tilfredsstillende utbytte av den ordinære opplæringen. Punkter til bruk i kartleggingsarbeidet:</w:t>
      </w:r>
    </w:p>
    <w:p w:rsidR="006E6EF2" w:rsidP="006E6EF2" w:rsidRDefault="006E6EF2" w14:paraId="6A3B850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303030"/>
          <w:szCs w:val="24"/>
        </w:rPr>
      </w:pPr>
      <w:r w:rsidRPr="685E6F3D">
        <w:rPr>
          <w:rFonts w:eastAsiaTheme="minorEastAsia"/>
          <w:b/>
          <w:bCs/>
          <w:i/>
          <w:iCs/>
          <w:color w:val="303030"/>
          <w:sz w:val="24"/>
          <w:szCs w:val="24"/>
        </w:rPr>
        <w:t>Målene</w:t>
      </w:r>
      <w:r w:rsidRPr="685E6F3D">
        <w:rPr>
          <w:rFonts w:eastAsiaTheme="minorEastAsia"/>
          <w:i/>
          <w:iCs/>
          <w:color w:val="303030"/>
          <w:sz w:val="24"/>
          <w:szCs w:val="24"/>
        </w:rPr>
        <w:t xml:space="preserve"> for opplæringen og hvordan disse ivaretas i den ordinære opplæringen.</w:t>
      </w:r>
    </w:p>
    <w:p w:rsidR="006E6EF2" w:rsidP="006E6EF2" w:rsidRDefault="006E6EF2" w14:paraId="086A72C6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303030"/>
          <w:szCs w:val="24"/>
        </w:rPr>
      </w:pPr>
      <w:r w:rsidRPr="685E6F3D">
        <w:rPr>
          <w:rFonts w:eastAsiaTheme="minorEastAsia"/>
          <w:b/>
          <w:bCs/>
          <w:i/>
          <w:iCs/>
          <w:color w:val="303030"/>
          <w:sz w:val="24"/>
          <w:szCs w:val="24"/>
        </w:rPr>
        <w:t>Innholdet</w:t>
      </w:r>
      <w:r w:rsidRPr="685E6F3D">
        <w:rPr>
          <w:rFonts w:eastAsiaTheme="minorEastAsia"/>
          <w:i/>
          <w:iCs/>
          <w:color w:val="303030"/>
          <w:sz w:val="24"/>
          <w:szCs w:val="24"/>
        </w:rPr>
        <w:t xml:space="preserve"> i opplæringen.</w:t>
      </w:r>
    </w:p>
    <w:p w:rsidR="006E6EF2" w:rsidP="006E6EF2" w:rsidRDefault="006E6EF2" w14:paraId="76C1CF9F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303030"/>
          <w:szCs w:val="24"/>
        </w:rPr>
      </w:pPr>
      <w:r w:rsidRPr="685E6F3D">
        <w:rPr>
          <w:rFonts w:eastAsiaTheme="minorEastAsia"/>
          <w:b/>
          <w:bCs/>
          <w:i/>
          <w:iCs/>
          <w:color w:val="303030"/>
          <w:sz w:val="24"/>
          <w:szCs w:val="24"/>
        </w:rPr>
        <w:t>Rammene</w:t>
      </w:r>
      <w:r w:rsidRPr="685E6F3D">
        <w:rPr>
          <w:rFonts w:eastAsiaTheme="minorEastAsia"/>
          <w:i/>
          <w:iCs/>
          <w:color w:val="303030"/>
          <w:sz w:val="24"/>
          <w:szCs w:val="24"/>
        </w:rPr>
        <w:t xml:space="preserve"> for opplæringen: gruppens størrelse, bruk av mindre grupper i opplæringen, antall lærere, hjelpemidler som brukes.</w:t>
      </w:r>
    </w:p>
    <w:p w:rsidR="006E6EF2" w:rsidP="006E6EF2" w:rsidRDefault="006E6EF2" w14:paraId="044701B9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303030"/>
          <w:szCs w:val="24"/>
        </w:rPr>
      </w:pPr>
      <w:r w:rsidRPr="685E6F3D">
        <w:rPr>
          <w:rFonts w:eastAsiaTheme="minorEastAsia"/>
          <w:b/>
          <w:bCs/>
          <w:i/>
          <w:iCs/>
          <w:color w:val="303030"/>
          <w:sz w:val="24"/>
          <w:szCs w:val="24"/>
        </w:rPr>
        <w:t>Elevenes forutsetninger og behov</w:t>
      </w:r>
      <w:r w:rsidRPr="685E6F3D">
        <w:rPr>
          <w:rFonts w:eastAsiaTheme="minorEastAsia"/>
          <w:i/>
          <w:iCs/>
          <w:color w:val="303030"/>
          <w:sz w:val="24"/>
          <w:szCs w:val="24"/>
        </w:rPr>
        <w:t>; tilpasset opplæring, særlige behov i elevgruppen? Hvor mye individuell hjelp eller veiledning og tilpasning gis innenfor gruppen?</w:t>
      </w:r>
    </w:p>
    <w:p w:rsidR="006E6EF2" w:rsidP="006E6EF2" w:rsidRDefault="006E6EF2" w14:paraId="3319CC88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b/>
          <w:bCs/>
          <w:color w:val="303030"/>
          <w:szCs w:val="24"/>
        </w:rPr>
      </w:pPr>
      <w:r w:rsidRPr="685E6F3D">
        <w:rPr>
          <w:rFonts w:eastAsiaTheme="minorEastAsia"/>
          <w:b/>
          <w:bCs/>
          <w:i/>
          <w:iCs/>
          <w:color w:val="303030"/>
          <w:sz w:val="24"/>
          <w:szCs w:val="24"/>
        </w:rPr>
        <w:t>Differensieringstiltak;</w:t>
      </w:r>
      <w:r w:rsidRPr="685E6F3D">
        <w:rPr>
          <w:rFonts w:eastAsiaTheme="minorEastAsia"/>
          <w:i/>
          <w:iCs/>
          <w:color w:val="303030"/>
          <w:sz w:val="24"/>
          <w:szCs w:val="24"/>
        </w:rPr>
        <w:t xml:space="preserve"> hvilke organisatoriske og pedagogiske differensieringstiltak brukes? Hvor mye oppfølging gis til den enkelte eleven?</w:t>
      </w:r>
      <w:r w:rsidRPr="685E6F3D">
        <w:rPr>
          <w:rFonts w:eastAsiaTheme="minorEastAsia"/>
          <w:i/>
          <w:iCs/>
          <w:sz w:val="24"/>
          <w:szCs w:val="24"/>
          <w:lang w:eastAsia="nb-NO"/>
        </w:rPr>
        <w:t>”</w:t>
      </w:r>
    </w:p>
    <w:p w:rsidRPr="00C274FE" w:rsidR="003E0561" w:rsidP="6E4FC648" w:rsidRDefault="006E6EF2" w14:paraId="250D0425" w14:textId="1B4BC1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EastAsia"/>
          <w:lang w:eastAsia="nb-NO"/>
        </w:rPr>
      </w:pPr>
      <w:r w:rsidRPr="6E4FC648">
        <w:rPr>
          <w:lang w:eastAsia="nb-NO"/>
        </w:rPr>
        <w:t>Dersom en elev fortsatt ikke har utbytte av</w:t>
      </w:r>
      <w:r>
        <w:t xml:space="preserve"> opplæringen, skal eleven drøftes videre med PPT. Kontaktlærer innhenter samtykke til å drøfte eleven med PPT.</w:t>
      </w:r>
      <w:r w:rsidR="61066774">
        <w:t xml:space="preserve"> </w:t>
      </w:r>
      <w:r w:rsidRPr="6E4FC648" w:rsidR="003E0561">
        <w:rPr>
          <w:lang w:eastAsia="nb-NO"/>
        </w:rPr>
        <w:t xml:space="preserve">Det </w:t>
      </w:r>
      <w:r w:rsidRPr="6E4FC648" w:rsidR="0025769D">
        <w:rPr>
          <w:lang w:eastAsia="nb-NO"/>
        </w:rPr>
        <w:t xml:space="preserve">vil ofte være behov for å </w:t>
      </w:r>
      <w:r w:rsidRPr="6E4FC648" w:rsidR="003E0561">
        <w:rPr>
          <w:lang w:eastAsia="nb-NO"/>
        </w:rPr>
        <w:t xml:space="preserve">avtale nye tiltak som skal iverksettes i </w:t>
      </w:r>
      <w:r w:rsidRPr="6E4FC648" w:rsidR="66457414">
        <w:rPr>
          <w:lang w:eastAsia="nb-NO"/>
        </w:rPr>
        <w:t>et avtalt tidsrom</w:t>
      </w:r>
      <w:r w:rsidRPr="6E4FC648" w:rsidR="003E0561">
        <w:rPr>
          <w:lang w:eastAsia="nb-NO"/>
        </w:rPr>
        <w:t>, før PPT inviteres igjen til ny drøfting.</w:t>
      </w:r>
    </w:p>
    <w:p w:rsidRPr="00FB6B43" w:rsidR="00C274FE" w:rsidP="00C274FE" w:rsidRDefault="00C274FE" w14:paraId="190330ED" w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eastAsia="nb-NO"/>
        </w:rPr>
      </w:pPr>
      <w:r w:rsidRPr="685E6F3D">
        <w:rPr>
          <w:lang w:eastAsia="nb-NO"/>
        </w:rPr>
        <w:t xml:space="preserve">Opplæringsloven § 5-4, første ledd, pålegger skolen å prøve ut tiltak innenfor det ordinære opplæringstilbudet </w:t>
      </w:r>
      <w:r w:rsidRPr="685E6F3D">
        <w:rPr>
          <w:u w:val="single"/>
          <w:lang w:eastAsia="nb-NO"/>
        </w:rPr>
        <w:t>før eleven evt. henvises til PPT.</w:t>
      </w:r>
    </w:p>
    <w:p w:rsidR="006E6EF2" w:rsidP="00053A9D" w:rsidRDefault="006E6EF2" w14:paraId="04763510" w14:textId="6F69F4EA">
      <w:pPr>
        <w:rPr>
          <w:b w:val="1"/>
          <w:bCs w:val="1"/>
        </w:rPr>
      </w:pPr>
    </w:p>
    <w:p w:rsidRPr="00032EA7" w:rsidR="00053A9D" w:rsidP="00053A9D" w:rsidRDefault="00053A9D" w14:paraId="7CA7277A" w14:textId="78703A36">
      <w:pPr>
        <w:rPr>
          <w:b/>
          <w:bCs/>
          <w:sz w:val="28"/>
          <w:szCs w:val="28"/>
        </w:rPr>
      </w:pPr>
      <w:r w:rsidRPr="00032EA7">
        <w:rPr>
          <w:b/>
          <w:bCs/>
          <w:sz w:val="28"/>
          <w:szCs w:val="28"/>
        </w:rPr>
        <w:t>Nivå 2</w:t>
      </w:r>
    </w:p>
    <w:p w:rsidRPr="00FB6B43" w:rsidR="00682F1A" w:rsidP="00682F1A" w:rsidRDefault="00682F1A" w14:paraId="438B806F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Vurdering for h</w:t>
      </w:r>
      <w:r w:rsidRPr="00FB6B43">
        <w:rPr>
          <w:rFonts w:cstheme="minorHAnsi"/>
          <w:b/>
        </w:rPr>
        <w:t>envisning til PPT</w:t>
      </w:r>
    </w:p>
    <w:p w:rsidRPr="0006353C" w:rsidR="00682F1A" w:rsidP="00682F1A" w:rsidRDefault="00682F1A" w14:paraId="59CAFDAA" w14:textId="5B2B52B1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685E6F3D">
        <w:t xml:space="preserve">Nytt </w:t>
      </w:r>
      <w:r w:rsidRPr="685E6F3D">
        <w:rPr>
          <w:i/>
          <w:iCs/>
        </w:rPr>
        <w:t>ressursmøte</w:t>
      </w:r>
      <w:r w:rsidRPr="685E6F3D">
        <w:t xml:space="preserve"> om eleven. Der avdelingsleder, kontaktlærer og ressurslærere deltar. Foresatte og eleven inviteres til å være med på dette møtet. Kontaktlærer forsikrer seg om at samtykke til å drøfte eleven med PPT fortsatt gjelder, hvis foreldrene ikke deltar</w:t>
      </w:r>
    </w:p>
    <w:p w:rsidR="00682F1A" w:rsidP="00682F1A" w:rsidRDefault="00682F1A" w14:paraId="5B723D58" w14:textId="3DB09D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/>
          <w:szCs w:val="24"/>
        </w:rPr>
      </w:pPr>
      <w:r w:rsidRPr="685E6F3D">
        <w:t>Her vurderes effekten av tiltakene</w:t>
      </w:r>
      <w:r w:rsidR="002D72D8">
        <w:t xml:space="preserve"> og/eller</w:t>
      </w:r>
      <w:r w:rsidRPr="685E6F3D">
        <w:t xml:space="preserve"> behov for veiledning fra PPT </w:t>
      </w:r>
    </w:p>
    <w:p w:rsidR="00682F1A" w:rsidP="00682F1A" w:rsidRDefault="00682F1A" w14:paraId="48A849F6" w14:textId="77777777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685E6F3D">
        <w:t>Når tiltakene vurderes og det vises at elevens opplæringsbehov fortsatt ikke kan dekkes innenfor den ordinære opplæringen, henvises eleven til PPT</w:t>
      </w:r>
    </w:p>
    <w:p w:rsidR="000165C8" w:rsidP="00682F1A" w:rsidRDefault="00682F1A" w14:paraId="553C4D67" w14:textId="03089F25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359CAE0A">
        <w:t xml:space="preserve">Elever med spesifikke vansker innenfor grunnleggende ferdigheter, henvises for utredning (ikke </w:t>
      </w:r>
      <w:r w:rsidR="00382A49">
        <w:t xml:space="preserve">nødvendigvis </w:t>
      </w:r>
      <w:r w:rsidRPr="359CAE0A">
        <w:t>spesialundervisning). Dysleksi</w:t>
      </w:r>
      <w:r w:rsidR="00F310BE">
        <w:t>/dyskalkuli</w:t>
      </w:r>
      <w:r w:rsidRPr="359CAE0A">
        <w:t xml:space="preserve"> utredes fra 4. trinn eller senere.  </w:t>
      </w:r>
    </w:p>
    <w:p w:rsidRPr="0006353C" w:rsidR="00682F1A" w:rsidP="00682F1A" w:rsidRDefault="00682F1A" w14:paraId="7B2A38E8" w14:textId="4676B411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Elever med omfattende konsentrasjon- og oppmerksomhetsvansker </w:t>
      </w:r>
      <w:r w:rsidR="73D182D3">
        <w:t>kan</w:t>
      </w:r>
      <w:r w:rsidR="3DC1B323">
        <w:t xml:space="preserve"> </w:t>
      </w:r>
      <w:r w:rsidR="01A491C7">
        <w:t>h</w:t>
      </w:r>
      <w:r>
        <w:t>envise</w:t>
      </w:r>
      <w:r w:rsidR="56CB259E">
        <w:t>s</w:t>
      </w:r>
      <w:r>
        <w:t xml:space="preserve"> til PPT for utredning og evt</w:t>
      </w:r>
      <w:r w:rsidR="715473BA">
        <w:t>.</w:t>
      </w:r>
      <w:r>
        <w:t xml:space="preserve"> veiledning</w:t>
      </w:r>
      <w:r w:rsidR="00F47921">
        <w:t xml:space="preserve"> </w:t>
      </w:r>
      <w:r w:rsidR="006972C7">
        <w:t>i forbindelse</w:t>
      </w:r>
      <w:r w:rsidR="006625EC">
        <w:t xml:space="preserve"> </w:t>
      </w:r>
      <w:r w:rsidR="00E023FB">
        <w:t xml:space="preserve">med </w:t>
      </w:r>
      <w:r w:rsidR="006625EC">
        <w:t>skolesituasjonen.</w:t>
      </w:r>
    </w:p>
    <w:p w:rsidRPr="00FB6B43" w:rsidR="00682F1A" w:rsidP="6E4FC648" w:rsidRDefault="00682F1A" w14:paraId="1DD6149E" w14:textId="5BE8CA7A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6E4FC648">
        <w:t>Når det er avtalt at eleven skal henvises til PPT, skal elevens foreldre skrive under på henvisningen</w:t>
      </w:r>
      <w:r w:rsidRPr="6E4FC648" w:rsidR="20DFB480">
        <w:t>.</w:t>
      </w:r>
    </w:p>
    <w:p w:rsidRPr="00FB6B43" w:rsidR="00682F1A" w:rsidP="00682F1A" w:rsidRDefault="00682F1A" w14:paraId="38E1C073" w14:textId="2F8E160B">
      <w:pPr>
        <w:pStyle w:val="ListParagraph"/>
        <w:numPr>
          <w:ilvl w:val="0"/>
          <w:numId w:val="6"/>
        </w:numPr>
        <w:spacing w:after="0" w:line="240" w:lineRule="auto"/>
        <w:jc w:val="both"/>
        <w:rPr/>
      </w:pPr>
      <w:r w:rsidR="00682F1A">
        <w:rPr/>
        <w:t xml:space="preserve">Skolen skal sørge for å sende henvisningen </w:t>
      </w:r>
      <w:r w:rsidR="36AE17D6">
        <w:rPr/>
        <w:t xml:space="preserve">uten </w:t>
      </w:r>
      <w:r w:rsidR="52231599">
        <w:rPr/>
        <w:t>u</w:t>
      </w:r>
      <w:r w:rsidR="36AE17D6">
        <w:rPr/>
        <w:t>grunnet opphold</w:t>
      </w:r>
      <w:r w:rsidR="00475A43">
        <w:rPr/>
        <w:t xml:space="preserve"> (jf. </w:t>
      </w:r>
      <w:proofErr w:type="spellStart"/>
      <w:r w:rsidR="00475A43">
        <w:rPr/>
        <w:t>fvl</w:t>
      </w:r>
      <w:proofErr w:type="spellEnd"/>
      <w:r w:rsidR="00475A43">
        <w:rPr/>
        <w:t>. § 11 a</w:t>
      </w:r>
      <w:r w:rsidR="36AE17D6">
        <w:rPr/>
        <w:t>)</w:t>
      </w:r>
      <w:r w:rsidR="00475A43">
        <w:rPr/>
        <w:t>,</w:t>
      </w:r>
      <w:r w:rsidR="36AE17D6">
        <w:rPr/>
        <w:t xml:space="preserve"> </w:t>
      </w:r>
      <w:r w:rsidR="00682F1A">
        <w:rPr/>
        <w:t>etter at saken er drøftet på ressursmøte</w:t>
      </w:r>
      <w:r w:rsidR="005B5DEB">
        <w:rPr/>
        <w:t xml:space="preserve"> med PPT</w:t>
      </w:r>
      <w:r w:rsidR="00CC2DFC">
        <w:rPr/>
        <w:t xml:space="preserve"> og foresatte.</w:t>
      </w:r>
      <w:r w:rsidR="05D0B01B">
        <w:rPr/>
        <w:t xml:space="preserve"> Dersom </w:t>
      </w:r>
      <w:r w:rsidR="20EA693C">
        <w:rPr/>
        <w:t xml:space="preserve">PPT ikke mottar henvisning </w:t>
      </w:r>
      <w:r w:rsidR="05D0B01B">
        <w:rPr/>
        <w:t>i løpet av 3 mnd</w:t>
      </w:r>
      <w:r w:rsidR="4D18E3E7">
        <w:rPr/>
        <w:t xml:space="preserve">, </w:t>
      </w:r>
      <w:r w:rsidR="05D0B01B">
        <w:rPr/>
        <w:t xml:space="preserve">må den drøftes på nytt i ressursteam med PPT og </w:t>
      </w:r>
      <w:r w:rsidR="11A02D5B">
        <w:rPr/>
        <w:t>foresatte.</w:t>
      </w:r>
    </w:p>
    <w:p w:rsidR="001F3885" w:rsidP="6E4FC648" w:rsidRDefault="00682F1A" w14:paraId="18CC41E5" w14:textId="4C5492BD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6E4FC648">
        <w:t>Mangelfull henvisning sendes tilbake til skolen. Foresatte informeres om det</w:t>
      </w:r>
      <w:r w:rsidRPr="6E4FC648" w:rsidR="1551C531">
        <w:t>.</w:t>
      </w:r>
    </w:p>
    <w:p w:rsidR="001F3885" w:rsidP="00682F1A" w:rsidRDefault="001F3885" w14:paraId="394BAD80" w14:textId="77777777">
      <w:pPr>
        <w:pStyle w:val="ListParagraph"/>
        <w:spacing w:after="0" w:line="240" w:lineRule="auto"/>
        <w:jc w:val="both"/>
        <w:rPr>
          <w:b/>
          <w:bCs/>
        </w:rPr>
      </w:pPr>
    </w:p>
    <w:p w:rsidR="001F3885" w:rsidP="00682F1A" w:rsidRDefault="001F3885" w14:paraId="24921DF8" w14:textId="77777777">
      <w:pPr>
        <w:pStyle w:val="ListParagraph"/>
        <w:spacing w:after="0" w:line="240" w:lineRule="auto"/>
        <w:jc w:val="both"/>
        <w:rPr>
          <w:b/>
          <w:bCs/>
        </w:rPr>
      </w:pPr>
    </w:p>
    <w:p w:rsidR="00BC52BB" w:rsidP="00053A9D" w:rsidRDefault="00BC52BB" w14:paraId="577D0FF3" w14:textId="4D0C0E84"/>
    <w:p w:rsidR="00053A9D" w:rsidP="00053A9D" w:rsidRDefault="00053A9D" w14:paraId="1D4BF18D" w14:textId="77777777"/>
    <w:sectPr w:rsidR="00053A9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7201"/>
    <w:multiLevelType w:val="hybridMultilevel"/>
    <w:tmpl w:val="81701AA0"/>
    <w:lvl w:ilvl="0" w:tplc="2D0EBA38">
      <w:start w:val="1"/>
      <w:numFmt w:val="bullet"/>
      <w:lvlText w:val="-"/>
      <w:lvlJc w:val="left"/>
      <w:pPr>
        <w:ind w:left="1069" w:hanging="360"/>
      </w:pPr>
      <w:rPr>
        <w:rFonts w:hint="default" w:ascii="Comic Sans MS" w:hAnsi="Comic Sans MS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 w15:restartNumberingAfterBreak="0">
    <w:nsid w:val="22D0371A"/>
    <w:multiLevelType w:val="hybridMultilevel"/>
    <w:tmpl w:val="C07848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BCB"/>
    <w:multiLevelType w:val="hybridMultilevel"/>
    <w:tmpl w:val="C9CC4708"/>
    <w:lvl w:ilvl="0" w:tplc="C3A0480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8848C6"/>
    <w:multiLevelType w:val="hybridMultilevel"/>
    <w:tmpl w:val="3FA63E8C"/>
    <w:lvl w:ilvl="0" w:tplc="F590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26CE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882B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36A4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D300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5325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E024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2368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5D03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B126216"/>
    <w:multiLevelType w:val="hybridMultilevel"/>
    <w:tmpl w:val="5A387556"/>
    <w:lvl w:ilvl="0" w:tplc="2D0EBA38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1493"/>
    <w:multiLevelType w:val="hybridMultilevel"/>
    <w:tmpl w:val="F22299FA"/>
    <w:lvl w:ilvl="0" w:tplc="2D0EBA38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9D"/>
    <w:rsid w:val="000165C8"/>
    <w:rsid w:val="00032EA7"/>
    <w:rsid w:val="00033AE3"/>
    <w:rsid w:val="00053A9D"/>
    <w:rsid w:val="00065CE1"/>
    <w:rsid w:val="000F616A"/>
    <w:rsid w:val="001556B7"/>
    <w:rsid w:val="001565C8"/>
    <w:rsid w:val="001A38C5"/>
    <w:rsid w:val="001F3885"/>
    <w:rsid w:val="002165C8"/>
    <w:rsid w:val="0025769D"/>
    <w:rsid w:val="0027138D"/>
    <w:rsid w:val="002D72D8"/>
    <w:rsid w:val="00307056"/>
    <w:rsid w:val="00307A09"/>
    <w:rsid w:val="00307CD3"/>
    <w:rsid w:val="00342A91"/>
    <w:rsid w:val="00373098"/>
    <w:rsid w:val="00382A49"/>
    <w:rsid w:val="003E0561"/>
    <w:rsid w:val="00403113"/>
    <w:rsid w:val="00430BA2"/>
    <w:rsid w:val="00475A43"/>
    <w:rsid w:val="004F6358"/>
    <w:rsid w:val="0050BC2C"/>
    <w:rsid w:val="00525CA9"/>
    <w:rsid w:val="00527187"/>
    <w:rsid w:val="00570A92"/>
    <w:rsid w:val="00593E96"/>
    <w:rsid w:val="005B4465"/>
    <w:rsid w:val="005B5DEB"/>
    <w:rsid w:val="00607B14"/>
    <w:rsid w:val="00625913"/>
    <w:rsid w:val="006474D8"/>
    <w:rsid w:val="006625EC"/>
    <w:rsid w:val="00682F1A"/>
    <w:rsid w:val="006972C7"/>
    <w:rsid w:val="006A74CA"/>
    <w:rsid w:val="006E6EF2"/>
    <w:rsid w:val="00726515"/>
    <w:rsid w:val="007F2826"/>
    <w:rsid w:val="008133B5"/>
    <w:rsid w:val="0083531C"/>
    <w:rsid w:val="00852531"/>
    <w:rsid w:val="0097255C"/>
    <w:rsid w:val="00977AE2"/>
    <w:rsid w:val="00A65975"/>
    <w:rsid w:val="00A914F3"/>
    <w:rsid w:val="00B47797"/>
    <w:rsid w:val="00B704E0"/>
    <w:rsid w:val="00BC52BB"/>
    <w:rsid w:val="00C274FE"/>
    <w:rsid w:val="00CC2DFC"/>
    <w:rsid w:val="00D709FC"/>
    <w:rsid w:val="00DF0079"/>
    <w:rsid w:val="00E023FB"/>
    <w:rsid w:val="00E65E15"/>
    <w:rsid w:val="00ED3863"/>
    <w:rsid w:val="00F310BE"/>
    <w:rsid w:val="00F47921"/>
    <w:rsid w:val="00F830E0"/>
    <w:rsid w:val="00FD4487"/>
    <w:rsid w:val="01A491C7"/>
    <w:rsid w:val="035E3D65"/>
    <w:rsid w:val="04DD191D"/>
    <w:rsid w:val="05D0B01B"/>
    <w:rsid w:val="0E227780"/>
    <w:rsid w:val="10144993"/>
    <w:rsid w:val="11A02D5B"/>
    <w:rsid w:val="1551C531"/>
    <w:rsid w:val="17618B93"/>
    <w:rsid w:val="19F07EF2"/>
    <w:rsid w:val="1BA8D620"/>
    <w:rsid w:val="20DFB480"/>
    <w:rsid w:val="20EA693C"/>
    <w:rsid w:val="210B2859"/>
    <w:rsid w:val="228C1B65"/>
    <w:rsid w:val="2686790F"/>
    <w:rsid w:val="2A1B0A2D"/>
    <w:rsid w:val="2A7F1DC6"/>
    <w:rsid w:val="2ACB0521"/>
    <w:rsid w:val="36AE17D6"/>
    <w:rsid w:val="37EDBBA1"/>
    <w:rsid w:val="3DC1B323"/>
    <w:rsid w:val="3E7FDC3B"/>
    <w:rsid w:val="412B96E1"/>
    <w:rsid w:val="4562A5C7"/>
    <w:rsid w:val="469A628F"/>
    <w:rsid w:val="474A5D83"/>
    <w:rsid w:val="4BD1949A"/>
    <w:rsid w:val="4D18E3E7"/>
    <w:rsid w:val="4D620C7B"/>
    <w:rsid w:val="52231599"/>
    <w:rsid w:val="52786850"/>
    <w:rsid w:val="527B73BA"/>
    <w:rsid w:val="56B4E80A"/>
    <w:rsid w:val="56BCF462"/>
    <w:rsid w:val="56CB259E"/>
    <w:rsid w:val="56FBDCCD"/>
    <w:rsid w:val="573BADBF"/>
    <w:rsid w:val="5BC6C35C"/>
    <w:rsid w:val="5EE6D053"/>
    <w:rsid w:val="61066774"/>
    <w:rsid w:val="6491FBAE"/>
    <w:rsid w:val="65658646"/>
    <w:rsid w:val="66457414"/>
    <w:rsid w:val="69BE5CE8"/>
    <w:rsid w:val="6B2044E2"/>
    <w:rsid w:val="6CBC1543"/>
    <w:rsid w:val="6E4FC648"/>
    <w:rsid w:val="6F6802A8"/>
    <w:rsid w:val="715473BA"/>
    <w:rsid w:val="73D182D3"/>
    <w:rsid w:val="776A5B48"/>
    <w:rsid w:val="793E7238"/>
    <w:rsid w:val="7A91E713"/>
    <w:rsid w:val="7CEC5D06"/>
    <w:rsid w:val="7F0DC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7814"/>
  <w15:chartTrackingRefBased/>
  <w15:docId w15:val="{04C1B507-D459-4850-959A-6F10DC6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ep-title" w:customStyle="1">
    <w:name w:val="step-title"/>
    <w:basedOn w:val="DefaultParagraphFont"/>
    <w:rsid w:val="00053A9D"/>
  </w:style>
  <w:style w:type="character" w:styleId="step-number" w:customStyle="1">
    <w:name w:val="step-number"/>
    <w:basedOn w:val="DefaultParagraphFont"/>
    <w:rsid w:val="00053A9D"/>
  </w:style>
  <w:style w:type="paragraph" w:styleId="ListParagraph">
    <w:name w:val="List Paragraph"/>
    <w:basedOn w:val="Normal"/>
    <w:uiPriority w:val="34"/>
    <w:qFormat/>
    <w:rsid w:val="0005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50FCA38C2DB41A6AE6E9D6BA36ABA" ma:contentTypeVersion="6" ma:contentTypeDescription="Opprett et nytt dokument." ma:contentTypeScope="" ma:versionID="c5a387c04674d178cdd8d39dd021c5fb">
  <xsd:schema xmlns:xsd="http://www.w3.org/2001/XMLSchema" xmlns:xs="http://www.w3.org/2001/XMLSchema" xmlns:p="http://schemas.microsoft.com/office/2006/metadata/properties" xmlns:ns2="6256a9b0-611d-4c4e-b8f6-51c7ecbaa5d0" xmlns:ns3="f9df8106-4380-47af-9492-f97287ba09f7" targetNamespace="http://schemas.microsoft.com/office/2006/metadata/properties" ma:root="true" ma:fieldsID="eae8ca5563e4b4e5db62a0e7d6e8a4ba" ns2:_="" ns3:_="">
    <xsd:import namespace="6256a9b0-611d-4c4e-b8f6-51c7ecbaa5d0"/>
    <xsd:import namespace="f9df8106-4380-47af-9492-f97287ba0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a9b0-611d-4c4e-b8f6-51c7ecbaa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f8106-4380-47af-9492-f97287ba0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B604A-AA13-4602-A0CA-E39F5A014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26550-4C86-4EE1-9BEA-56991DCF70FB}">
  <ds:schemaRefs>
    <ds:schemaRef ds:uri="f9df8106-4380-47af-9492-f97287ba09f7"/>
    <ds:schemaRef ds:uri="http://schemas.microsoft.com/office/2006/documentManagement/types"/>
    <ds:schemaRef ds:uri="http://schemas.openxmlformats.org/package/2006/metadata/core-properties"/>
    <ds:schemaRef ds:uri="6256a9b0-611d-4c4e-b8f6-51c7ecbaa5d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464A96-2D8C-4611-B5B4-49D8BC141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6a9b0-611d-4c4e-b8f6-51c7ecbaa5d0"/>
    <ds:schemaRef ds:uri="f9df8106-4380-47af-9492-f97287ba0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Kjetil Schrumpf</dc:creator>
  <keywords/>
  <dc:description/>
  <lastModifiedBy>Kasper Kvalheim Thinn</lastModifiedBy>
  <revision>70</revision>
  <dcterms:created xsi:type="dcterms:W3CDTF">2020-12-14T21:04:00.0000000Z</dcterms:created>
  <dcterms:modified xsi:type="dcterms:W3CDTF">2021-09-28T08:02:23.6709636Z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0x0101004B150FCA38C2DB41A6AE6E9D6BA36ABA</vt:lpwstr>
  </property>
</Properties>
</file>